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84"/>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项目名称：南京教育网络安全监测及云防护</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项目编号：JSZC-320100-JZDL-G2026-0002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采购人：南京市电化教育馆（南京市教育信息化中心）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代理机构：南京君正项目管理咨询有限公司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受南京市电化教育馆（南京市教育信息化中心）（采购单位）委托</w:t>
      </w:r>
      <w:r>
        <w:rPr>
          <w:rFonts w:ascii="SimSun" w:hAnsi="SimSun" w:eastAsia="SimSun" w:cs="SimSun"/>
          <w:color w:val="000000"/>
          <w:sz w:val="21"/>
        </w:rPr>
        <w:t xml:space="preserve">，</w:t>
      </w:r>
      <w:r>
        <w:rPr>
          <w:rFonts w:ascii="SimSun" w:hAnsi="SimSun" w:eastAsia="SimSun" w:cs="SimSun"/>
          <w:color w:val="000000"/>
          <w:sz w:val="21"/>
        </w:rPr>
        <w:t xml:space="preserve">南京君正项目管理咨询有限公司（以下简称“招标代理机构”）就南京教育网络安全监测及云防护（项目名称）项目进行公开招标采购，欢迎符合条件的供应商投标。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1.项目编号：JSZC-320100-JZDL-G2026-0002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2.项目名称：南京教育网络安全监测及云防护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3.预算金额：188.92万元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4.最高限价：188.92万元，超过此限价作无效投标处理。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本项目为全市教育网络安全监测及云防护服务，围绕“云、网、端、数据、应用、身份”提供一体化安全能力，包括全市不少于800个教育信息系统（网站）的监测通报预警、市教育数据中心主机防护、API监测、33个主要站点云WAF防护、市级网络实名制认证、8000个网络活跃点网络行为监测，以及市教育数据中心AI+安全监测服务。（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6.合同履行期限：自合同生效之日起一年。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w:t>
      </w:r>
      <w:r>
        <w:rPr>
          <w:rFonts w:ascii="SimSun" w:hAnsi="SimSun" w:eastAsia="SimSun" w:cs="SimSun"/>
          <w:color w:val="000000"/>
          <w:sz w:val="21"/>
        </w:rPr>
        <w:t xml:space="preserve">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整体专门面向中小企业采购；供应商应为中小微企业、监狱企业或残疾人福利性单位。供应商须提供《中小企业声明函》（或《残疾人福利性单位声明函》，或由省级以上监狱管理局、戒毒管理局出具的属于监狱企业的证明文件），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1.提交投标文件截止时间、开标时间：2026年11月06日10时00分（北京时间）。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w:t>
      </w:r>
      <w:r>
        <w:rPr>
          <w:rFonts w:ascii="SimSun" w:hAnsi="SimSun" w:eastAsia="SimSun" w:cs="SimSun"/>
          <w:color w:val="000000"/>
          <w:sz w:val="21"/>
        </w:rPr>
        <w:t xml:space="preserve">软件和信息技术服务业。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名称：南京市电化教育馆(南京市教育信息化中心)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地址：南京市鼓楼区慈悲社5号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none"/>
        </w:rPr>
        <w:t xml:space="preserve">025-84763551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名称：南京君正项目管理咨询有限公司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地址：南京市建邺区邺城路19号双闸社区中心A座4楼453-1室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联系方式：刘丽 17714400701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项目联系人：刘丽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电话：17714400701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（5）评标办法与评标标准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29.服务（包含与货物相关的货物）的追加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依据《关于在全省政府采购领域推行电子履约保函（保险）的通知》（苏财购〔2023〕150号），中标人可通过江苏政府采购网“政府采购电子履约保函（保险）综合服务平台”线上办理履约保函（保险）。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w:t>
      </w:r>
      <w:r>
        <w:rPr>
          <w:rFonts w:ascii="SimSun" w:hAnsi="SimSun" w:eastAsia="SimSun" w:cs="SimSun"/>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w:t>
      </w:r>
      <w:r>
        <w:rPr>
          <w:rFonts w:ascii="SimSun" w:hAnsi="SimSun" w:eastAsia="SimSun" w:cs="SimSun"/>
          <w:color w:val="000000"/>
          <w:sz w:val="21"/>
        </w:rPr>
        <w:t xml:space="preserve">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43.对本国产品的支持政策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43.1为贯彻落实《国务院办公厅关于在政府采购中实施本国产品标准及相关政策的通知》（国办发〔2025〕34号），在政府采购中实施本国产品标准及相关政策。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43.2本项目中既有本国产品又有非本国产品参与竞争的，依法对本国产品给予价格评审优惠，对本国产品的报价给予20%的价格扣除，用扣除后的价格参与评审。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 本次采购的代理服务费由采购人承担；参照《江苏省政府采购代理服务收费指导意见》苏政采协〔2024〕20号文招标收费基准费率的80%计算，开具增值税普通发票。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南京市政府采购合同（服务）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甲、乙双方根据南京君正项目管理咨询有限公司组织的____________________项目公开招标结果，签署本合同。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8.1.1合同签订后支付65%预付款，服务结束验收合格后支付35%。每次结算前中标人需提前准备好经双方认可的结算资料、合规发票交采购人办理付款手续。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 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52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8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（一）项目背景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深入贯彻落实《中华人民共和国网络安全法》及网络安全等级保护制度2.0相关要求，提升全市教育系统网络安全威胁预防、监测预警和应急处置能力，防范重大网络安全事件发生，保障南京教育城域网数据中心及全市教育信息系统安全稳定运行，拟采购南京教育网络安全监测及云防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围绕“云、网、端、数据、应用、身份”构建一体化教育网络安全服务体系，服务内容包括：全市不少于800个教育信息系统（网站）的安全监测及通报预警服务；市教育数据中心主机防护服务；市教育数据中心API监测服务；全市33个主要站点的云WAF防护服务；市级网络实名制认证运维服务，保障全市各区县至少480所学校或单位、至少16万个终端设备的认证接入；全市不少于8000个网络活跃点的网络行为监测服务；市教育数据中心AI+安全监测服务；以及配套的AI+安全运维巡检和DNS互联网安全接入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本项目实施，建立覆盖市、区、校三级的网络安全监测与通报预警体系，对全市教育信息系统及主机开展常态化安全检测和“健康体检”，及时掌握安全状态，提早处置安全隐患，实现安全威胁“发现—通报—整改—复测—闭环”的全流程管理，达到全市教育网站“治乱、堵漏、补短、规范”的目标，全面提升南京教育系统网络安全防护水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（二）项目建设遵循标准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《中华人民共和国网络安全法》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《信息安全技术 网络安全等级保护基本要求》（GB/T 22239-2019）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《国务院办公厅秘书局关于印发政府网站与政务新媒体检查指标、监管工作年度考核指标的通知》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《省政府办公厅关于开展政府网站信息内容专项检查行动的通知》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教育行业网络安全相关管理规定及江苏省教育厅网络安全通报平台相关要求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（三）本项目标的的所属行业：软件和信息技术服务业。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（一）网络安全监测及通报预警服务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1.资产管理服务：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提供全市基础教育资产整理服务、资产上报服务，具体包括以下内容：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（1）资产整理服务：针对下级单位上报的信息系统，供应商根据采购人要求定期整理汇总，输出详细清单提供采购人使用。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（2）资产上报服务：定期（每季度）将已梳理的信息系统清单按照教育资产管理平台（GEDB）的数据格式进行整理和录入。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2.通报处置服务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依托“南京市教育网络安全监测保障平台”进行通报处置服务，包括安全威胁通报、人工复测审核服务、通报整改跟踪及支撑。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（1）安全威胁通报服务：对多方来源的安全威胁进行数据格式审核整理，并做好通报下发服务。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（2）人工复测审核服务：对责任单位提交的处置整改情况在规定时间内进行人工校验，确认是否整改到位，完成安全威胁通报流程的闭环。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（3）通报整改跟踪及支撑服务：针对已通报的安全威胁进行跟踪闭环。如责任单位遇技术困难，提供技术支持（现场或远程）帮助责任单位处理解决安全威胁。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3.预警通知服务：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根据采购人要求推送预警信息给指定责任单位，并配合上级监管和主管单位进行专项漏洞检查。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4.资产存活状态监控服务：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根据采购人要求，周期性针对纳管资产，进行自定义开启或关闭资产监控，配置资产的存活状态监控周期，自动发现资产当前的状态并及时更新。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5.重点网站可用性监测服务：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根据采购人要求，对重点网站的可用性进行监测，包括网站服务可用性、域名解析可用性、网站内容可用性。</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（二）云应用防火墙防护服务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4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1.云应用防火墙防护服务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（1）针对不同的业务场景进行防火墙防护策略优化，使防护效果达到最佳。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（2）提供重点行业流量清洗。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（3）可针对夜间网站更新频率较低、黑客攻击比较频繁的情况，设置夜间模式，提高防护等级。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（4）提供可防止黑客进行“撞库”攻击，保护网站敏感数据不被泄露。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（5）无需对原有网络拓扑进行更改，需将CNAME别名指向云防护平台。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（6）DNS负载均衡：支持根据客户不同服务的运营商智能选择不同的DNS进行解析，并支持解析负载功能。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（7）提供所有支持的http协议防护端口&gt;300个；https协议防护端口&gt;100个。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（8）为了满足业务需要，要求能够对网站除80、443以外的非标准端口提供防护，并可以自助配置。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（9）同站多域名绑定：支持同站点多域名的防护。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（10）精准识别上百种自动化扫描和攻击软件，并阻断其所有请求。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（11）禁止非授权IP访问网站后台管理地址或重要页面。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（12）保护网站图片、压缩包等资源文件不被其他站点盗用。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（13）设置不进行防护的IP地址（IP白名单）、不允许访问的IP地址（IP黑名单）和不经过防护的URL地址（URL白名单）。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（14）根据《中华人民共和国网络安全法》，需留存网站访问日志，需提供日志下载功能，并区分原始日志、攻击日志和CC攻击日志。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（15）支持提供网站安全报表，能够实时展示网站的总请求数、总流量、网站浏览人数、搜索引擎次数、缓存率和遭攻击次数，并能统计每小时网站的总请求数、总流量和网络浏览人数等。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（16）33个一级域名站点云防护，每个主站点包含至少10个二级站点的云防护</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（三）主机安全防护服务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一、授权数量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1.本次服务期间提供800个主机防护的授权，且同时支持信创、非信创主机的安全检测与防护。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二、通用能力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1.为了确保本次服务提供插件的安全性以及减少对主机运行过程的影响，支持在服务端设置密码，防止恶意卸载Agent，且可限制Agent CPU资源使用率，并可自定义限速阈值。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2.为了便于本次服务中插件的部署，插件提供支持手动下载安装包安装和一句话命令自动安装，且可通过ARP、ping和Nmap等手段进行未安装主机发现功能。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3.支持管理服务端对Agent日志文件数量和大小限制进行设置和修改，包括日志文件大小和备份文件数量。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4.插件支持监控模式与直连模式，且支持客户端Agent迁移，同步实现配置迁移能力。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5.提供系统策略集，包含日常运营监测、日常运营防护、重保监测、重保防护，用户可根据使用场景快速运用。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三、资产管理与主机加固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了及时了解资产信息采集的完整性，支持对主机信息及硬件信息、web站点、web中间件、web应用、web框架、账号信息、进程/端口、数据库、软件应用、安装包和类库、Jar包、环境变量、内核模块、计划任务等数据进行识别与监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了及时了解资产所面临的风险，提供根据关键字进行资产全文搜索，检索出与关键字相匹配的资产名称及类型，且支持对主机各类资产信息的变更分析，支持统计主机总数、当前在线主机数、本周新增主机数，主机数量变更分析；支持对特定时间范围内各资产数量做变更分析，支持查看不同的分析时段；支持导出资产变更分析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及时了解所有资产的运行情况，支持资产或主机单字段全网模糊搜索，支持二级资产统计及条件检索；支持主机视图统计检索资产关联数量，并查看资产详细统计数据，可下钻详细资产列表；支持资产视图统计检索资产关联数量，并查看资产详细列表信息，可下钻详细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了可以及时识别主机上的风险账号，确保服务期间主机账号安全可靠，支持对风险账号类型分布及数量排行；基于主机分组统计风险账号数量，忽略、添加白名单、显示密码、扫描；数据导出（CSV、word、excel），且工具列表展示主机风险账号信息，列表详情展示：根据待处置和已处置维度划分，可针对列表检索，并展示详细分割线账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了及时掌握服务期间主机侧的缺陷，支持扫描并展示安全体检的配置缺陷信息，包含配置缺陷的相关说明信息，风险危害以及修复建议，支持Web容器配置缺陷检测、数据库配置缺陷检测、应用软件配置缺陷检测，且支持展示主机缺陷的风险等级、类型、当前版本、安装路径、风险说明、发现时间、处置时间、来源、处置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6.为了便于管理，支持批量资产更新、备注、设置资产价值、删除操作；支持标签自定义及分配；支持分组自定义及分配，支持多级分组；支持批量主机分组分配；支持批量主机资产导入（文本导入）+导出。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7.针对账号风险，此次服务支持采集账号变化的全量日志，且支持自定义危险的账号操作行为，包括修改账号用户名、修改账号密码、修改账号权限、删除账号和新增账号，命中则告警。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四、病毒防护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1.支持本地扫描和云扫描，支持实时扫描、定时扫描、立即扫描和快速扫描；如发现特殊情况（如业务高峰期），可支持终止操作，且对防病毒扫描过程中的CPU占用比例进行手动设定，保障不影响正常业务。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2.实时扫描支持配置生效的时间段，且支持切换内核级落盘查杀，可毫秒级响应，勒索病毒落盘即拦截，可确保恶意文件无法运行。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3.杀毒引擎模式支持本地或云引擎。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4.为了确保服务期间对病毒扫描的灵活性，支持配置扫描参数，包括扫描目录、后缀，以及例外的目录、文件、文件hash、进程镜像文件和后缀，是否扫描网络盘。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五、入侵检测及防御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1.本次服务针对主机上的可疑行为，支持自定义进程参数、脚本执行、文件特征、系统配置和系统注册表来发现异常的后门。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▲2.本次服务针对远程登录，支持设置远程登录的IP白名单（指定可远程登录的IP地址或IP段），阻止未授权IP的远程登录。Windows为RDP、Linux为ssh，且支持修改远程登录端口</w:t>
            </w:r>
            <w:r>
              <w:rPr>
                <w:rFonts w:ascii="SimSun" w:hAnsi="SimSun" w:eastAsia="SimSun" w:cs="SimSun"/>
                <w:b/>
                <w:color w:val="000000"/>
                <w:sz w:val="21"/>
              </w:rPr>
              <w:t xml:space="preserve">（提供功能截图并加盖投标人公章）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3.本次服务针对外联监测场景，支持配置主机外联IP名单，并监听主机外联行为，白名单以外的将告警。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4.本次服务针对外联监测场景，支持配置IP自学习时间，IP将自动加入白名单，且支持联动威胁情报，访问情报中的恶意IP告警。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5.本次服务针对暴力破解，支持各类应用的爆破防护：SSH（linx）、FTP（linx/linux）、MYSQL（linux/windws）、RDP（windows）、WINRM（windows）、SMB（windows）、RADMIN（windows）、MSSQL（windows）。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了确保本次服务期间对未知威胁的有效识别，支持主机蜜罐及文件蜜罐，主机蜜罐可定义蜜罐端口并产生告警；支持创建诱饵文件蜜罐功能，可自定义创建诱饵文件名以及文件大小，系统支持内置账户密码文件、mysql数据、用户信息文件、日志配置、mysql配置文件、robots文件等类型的诱饵文件；支持监控诱饵文件的创建、删除、修改、读取、权限修改行为；支持查看访问诱饵文件的告警详情信息，包括执行诱饵文件操作的行为、时间、进程树、进程路径、MD5等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为了确保本次服务期间服务器访问过程中的安全性，支持通过设置常用登录规则，如常用登录IP、登录地址、登录时间和登录账号，实时检测服务器的异常登录行为。支持记录并展示服务器的所有登录日志信息，包括正常登录和异常登录日志，且异常登录规则支持设置自定义学习常用登录IP，支持互信组登录，同一互信组内的主机相互登录默认不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为了确保本次服务期间服务器侧账号使用的安全性，支持对账号进行完整性监控，实时监测系统账号的操作行为，支持自定义危险的账号操作行为，命令监控规则后自动告警；支持windows系统禁止创建系统账号，linux系统禁止创建账号和禁止账号提权,且支持设置进程白名单和进程白名单自学习，不在白名单的进程可以选择禁止启动，支持只记录和记录拦截两种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针对本次服务中的漏洞风险，支持基于时间窗口进行概览数据统计；统计应急&amp;系统漏洞总数、各等级漏洞数量，影响主机数、影响window和Linux主机数；统计弱口令、风险账号、配置缺陷数量以及影响主机数量；统计各类风险时间窗口内的发现数量和处置数量分布；统计主机存在风险项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针对服务过程中发现的webshell风险，支持配置扫描目录和扫描后缀，扫描目录支持自动下发web资产目录，支持配置自动响应策略，响应措施包括：仅记录、隔离，并且支持配置自动响应的生效目录、后缀和生效时间，且支持高亮展示异常片段，并支持手动隔离和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针对爆发的高危漏洞，可采集近期爆发出的高危漏洞，通过应急漏洞的检测功能对主机资产进行快速检测，确认是否有资产受到影响；支持漏洞和主机过滤，通过漏洞类型、风险等级、修复影响、影响软件、漏洞名称等进行漏洞过滤，通过主机分组、标签、状态、内核版本等进行主机过滤；支持应急漏洞库设置，采集应急漏洞信息、统计应急漏洞总数；支持检测任务设置，可创建检查任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针对勒索入侵，linux系统提供包括但不限于推荐修改系统敏感文件、操作日志文件、发现挖矿文件、系统命令权限异常变更、读取ssh连接历史、读取公私钥文件等检测策略，window系统支持禁止非进程（白名单以外）对指定注册表值或注册表项的异常操作，包括删除、写入和创建。</w:t>
            </w:r>
            <w:r>
              <w:rPr>
                <w:rFonts w:ascii="SimSun" w:hAnsi="SimSun" w:eastAsia="SimSun" w:cs="SimSun"/>
                <w:b/>
                <w:color w:val="000000"/>
                <w:sz w:val="21"/>
              </w:rPr>
              <w:t xml:space="preserve">（提供功能截图并加盖投标人公章）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（四）实名认证运维服务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一、南京智慧教育实名认证平台运维服务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保障：保障南京智慧教育实名认证平台各模块业务正常使用；保障全市各区县至少480所学校或单位的认证接入服务，保障至少16万个终端设备的认证接入服务。网络实名认证准入机制、专业尽责的平台运维保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2.网络认证服务运维：定期检查认证服务日志。针对认证服务日志的异常出错问题，查找出错原因。针对由于网络接入设备导致认证出错的情形，及时反馈给网络接入设备维护方。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3.智能机器人告警服务：网络实名认证平台运行过程中自动采集产生的异常信息，进行机器人自动化告警服务。投标人拟派的运维人员对相应告警任务进行处理，实现异常发现、告警推送、及时处理的任务闭环。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4.软件及安全运维：及时安装系统补丁，发现漏洞及时修补，保障服务器系统安全；做好杀毒软件、防火墙、病毒库的日常升级，做好各类安全事件的应急响应和处理，做好防攻击、负载均衡等方面的安全措施。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5.环境运维：定期查看服务器运行状况，包括CPU使用率、内存使用率、磁盘使用情况、服务器时间、带宽使用率、内网访问服务、数据库服务；针对有异常信息及时处置。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6.高级技术咨询：提供网络接入设备维护方对接南京智慧教育实名认证平台相关技术咨询和指导，对网络接入设备维护方提出的相关问题作出解答。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技术支持服务：针对需要对接南京智慧教育实名认证平台的网络接入设备维护方，通过微信、电话、QQ、邮件等通讯方式，及时告知对接所要用的配置文档说明等，并根据网络接入设备维护方的实际需求，提供相关样例配置作为参考，并在对接过程中，及时响应网络接入设备维护方所遇到的问题和困难；对接成功后，及时配合网络接入设备维护方进行认证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8.软件版本维护与升级：定期查看系统各个模块日志，查找定位到错误日志中记录的错误原因，及时调整修改代码或系统环境配置；定期查看系统日志，若有异常及时定位问题，并及时修复。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软件系统故障的检测和系统恢复：系统遇到故障及时定位问题并尝试解决，如果有必要可申请备用服务器，保证系统正常运行；遇到断电等其他宕机问题，在恢复后及时检查系统各个服务模块，确保所有服务正常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10.迁移服务：协助学校完成其他网络认证迁移至南京智慧教育实名认证。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11.记录学校及单位在实际应用场景中反馈的诉求与优化建议，协助处置学校侧反馈的账号、手机号码认证等问题，保障系统使用流畅性与用户体验，助力服务效能提升。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12.网络调试支持：针对部分接入单位无运维人员与集成商，远程协助对接，远程配置学校相关网络设备；针对部分接入单位网络结构调整，协助进行相应对接信息修改。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13.专线测试：协助测试接入单位专线通断以便后续对接。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14.协助溯源：针对部分接入单位通报信息，或者内网中毒，根据接入单位的其他安全设备，进行溯源排查，精准定位到个人。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二、南京智慧教育实名认证对接接入服务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认证接入：接入南京智慧教育网络实名认证平台，拦截未认证用户的上网访问，重定向到南京智慧教育网络实名认证平台，并支持外部Portal认证及外部Radius认证，支持无感知认证，支持认证服务器故障时用户免认证逃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2.PORTAL认证：支持Portal协议规范。支持V1和V2协议规范。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3.Radius认证：支持Radius服务器认证，支持Radius协议规范。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感知认证：支持802.1x+MAB方式的无感知认证。当用户终端接入网络时，首先向Radius服务器发起用户名、密码均为用户终端mac地址的Radius认证，如认证通过，则直接允许用户终端上网，如认证不通过，则转入Portal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5.用户免认证逃生：当用户终端接入网络时，如检测到Portal服务器或Radius服务器故障无法进行认证时，直接放行用户终端，允许用户终端免认证逃生上网。</w:t>
              <w:tab/>
              <w:t xml:space="preserve">当检测到故障的Portal服务器或Radius服务器恢复正常时，立即将免认证逃生上网的用户终端踢下线（不能将已正常认证上网的用户终端踢下线），进行正常的认证流程。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6.实名信息推送统一标准：提供推送标准报文格式信息，推送用户上网IP、MAC地址、真实姓名、用户单位、上网所在单位、上下线信息。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多样化实名认证服务：可提供南京智慧教育云服务账号认证接入网络服务；南京智慧教育云微信认证接入网络服务；南京基础库教师手机号码验证码认证接入网络服务；提供临时用户库手机验证码入网服务：在临时用户库的用户，可以通过手机验证码功能认证上网；提供来宾登记授权认证入网服务：来宾在通过手机验证码认证后，需要登记填写实名信息，系统将自动展示授权码，提示需要单位内部人员微信扫码授权。平台自动记录授权认证信息；提供授权码认证功能：来宾通过手机验证码验证成功后，根据内部人员提供的授权码进行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8.告警机器人对接服务：对接告警机器人API，实现运维告警信息推送至指定运维群组，支持按告警级别、业务模块等维度精准路由，确保告警信息实时触达相关责任人。</w:t>
            </w:r>
            <w:r/>
          </w:p>
        </w:tc>
      </w:tr>
    </w:tbl>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（五）DNS互联网安全接入服务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本项目需提供满足至少8000个终端接入的互联网安全接入服务，且后续能够按照授权增加扩容，扩容数量无上限约束。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2.产品形态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纯SaaS服务，本地无需部署硬件设备。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全年服务可用时间占比≥99.999%。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4.仪表盘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支持首页仪表盘概览展示DNS查询与拦截情况、检出威胁域名、TOP受威胁主机、热点威胁、访问内容分析等内容，且每个统计信息均可下钻查看详情，可自主筛选时间查看。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支持以职场区域为划分，定向查看某职场的DNS查询情况、拦截情况、检出威胁域名、TOP受威胁主机、访问内容分析等内容，统计信息均可下钻查看详情。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▲5.BGP智能解析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安全DNS提供的服务节点需要为BGP路线，</w:t>
              <mc:AlternateContent>
                <mc:Choice Requires="wpg">
                  <w:drawing>
                    <wp:inline xmlns:wp="http://schemas.openxmlformats.org/drawingml/2006/wordprocessingDrawing" distT="0" distB="0" distL="0" distR="0">
                      <wp:extent cx="1466850" cy="1905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78195" name=""/>
                              <pic:cNvPicPr>
                                <a:picLocks noChangeAspect="1"/>
                              </pic:cNvPicPr>
                              <pic:nvPr/>
                            </pic:nvPicPr>
                            <pic:blipFill>
                              <a:blip/>
                              <a:stretch/>
                            </pic:blipFill>
                            <pic:spPr bwMode="auto">
                              <a:xfrm>
                                <a:off x="0" y="0"/>
                                <a:ext cx="1466849" cy="190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5pt;height:15.0pt;mso-wrap-distance-left:0.0pt;mso-wrap-distance-top:0.0pt;mso-wrap-distance-right:0.0pt;mso-wrap-distance-bottom:0.0pt;" stroked="false">
                      <v:path textboxrect="0,0,0,0"/>
                    </v:shape>
                  </w:pict>
                </mc:Fallback>
              </mc:AlternateContent>
              <w:t xml:space="preserve">，即可自动根据用户所属区域和运营商线路（包括电信、移动、联通），智能调度返回同运营商最优解析IP。</w:t>
            </w:r>
            <w:r>
              <w:rPr>
                <w:rFonts w:ascii="SimSun" w:hAnsi="SimSun" w:eastAsia="SimSun" w:cs="SimSun"/>
                <w:b/>
                <w:color w:val="000000"/>
                <w:sz w:val="21"/>
              </w:rPr>
              <w:t xml:space="preserve">（提供功能截图并加盖投标人公章）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▲6.解析监控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实时监控用户DNS解析服务情况，DNS每秒处理量、请求量的动态变化，每秒处理量支持以职场维度筛选查看。</w:t>
            </w:r>
            <w:r>
              <w:rPr>
                <w:rFonts w:ascii="SimSun" w:hAnsi="SimSun" w:eastAsia="SimSun" w:cs="SimSun"/>
                <w:b/>
                <w:color w:val="000000"/>
                <w:sz w:val="21"/>
              </w:rPr>
              <w:t xml:space="preserve">（提供功能截图并加盖投标人公章）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7.失陷指标（IOC）情报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专业商用失陷指标（IoC）情报≥100万条，字段至少包括发现时间、域名、相关组织、严重程度、相关家族、置信度、针对行业、背景信息、关联样本、是否为APT攻击、通讯协议、应用协议、主机类型、情报类型、时间戳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8.实时自动拦截能力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支持实时阻断内部受控主机或恶意终端域名通过DNS访问非法站点，阻断威胁对外连接建立，提升递归访问的安全性。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9.DNS隧道防护能力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支持DNS隧道域名检测，可生成DNS隧道域名地址列表，用户自主选择是否拦截对应的DNS隧道地址，DNS隧道告警支持IM、邮件通知。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▲10.新注册域名防护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可针对近30天新注册域名开启防护，降低被攻击者或攻击队恶意攻击的可能，支持仅检测、检测拦截两种模式。</w:t>
            </w:r>
            <w:r>
              <w:rPr>
                <w:rFonts w:ascii="SimSun" w:hAnsi="SimSun" w:eastAsia="SimSun" w:cs="SimSun"/>
                <w:b/>
                <w:color w:val="000000"/>
                <w:sz w:val="21"/>
              </w:rPr>
              <w:t xml:space="preserve">（提供功能截图并加盖投标人公章）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11.IPV6检测防护能力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具备IPv6检测与阻断能力，支持IPV6网络出口配置，针对IPv6进行解析和威胁拦截防护。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12.授权数量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支持对项目要求的不少于10000个终端提供威胁清除插件agent。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13.内容分类策略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识别超过50种分类千万级域名，包括色情暴力、违法内容、赌博、游戏、广告等敏感类别，用户可针对不同应用设置拦截策略。内容分类策略基于支持不同的工作时间段设置生效，例如支持全天或工作日9:00-18:00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14.自定义拦截或放行策略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支持按照职场维度自定义域名拦截及放行规则，支持配置多条拦截放行策略，可拖动修改优先级排序。</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15.自定义拦截返回页面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灵活的自定义拦截页面，默认拦截返回页面可自定义文字、企业名称、企业LOGO，支持跳转到指定的URL或指定IP。可基于不同拦截原因（威胁，内容，自定义名单）自定义不同拦截页面策略，例如威胁拦截返回默认拦截页自定义提示话术，内容分类拦截跳转到指定的URL，自定义黑名单拦截跳转到指定I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16.策略告警模式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威胁检测支持多种告警模式，用户可以自主选择仅告警不拦截或告警并拦截模式。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17.多种策略配置模式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可区分职场设置不同范围的策略配置，配置范围包括全局策略权限、某职场策略权限。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18.账号统一管理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采用WEB HTTPS方式进行SaaS服务集中管理。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19.多职场统一防护</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支持多级架构职场接入防护，不限制下钻层级，职场管理页面可查看总部-一级-二级-三级到n级分支的架构关系。可设置超管、分支管理员等不同管理角色账号，职场管理员仅看到自己区域内数据。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20.双因素验证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支持通过短信形式接收验证码完成二次验证后方可登录控制台，用户可自主选择是否开启双因素验证，保障账号安全。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21.个性化配置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支持用户自定义控制台企业名称、企业LOGO，支持自定义Agent插件的名称和LOGO。</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22.产品使用建议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根据用户使用安全DNS的行为和数据，自动生成使用建议，包括推荐开启敏感分类拦截策略、安装定位工具溯源、开启拦截策略等。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23.动态出口接入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支持用户通过动态跟踪程序或者DDNS技术添加动态网络出口。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24.终端Agent管理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终端Agent支持职场分组管理、登记人员、批量移动、批量删除、批量导入终端管理信息等管理能力。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终端Agent支持根据职场分组、终端信息、在线状态、隔离状态、操作系统、生效策略进行灵活筛选。支持快速筛选近24小时/7天/30天活跃终端及超过30天未活跃的终端。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25.告警通知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定义设置威胁严重等级邮件通知。告警通知支持基于不同的威胁等级、事件类型设置灵活的通知策略，例如APT事件有威胁检出立刻推送，僵木蠕告警每天推送等。告警形式支持邮件及钉钉、企业微信、飞书任意方式的IM通知推送。支持通过API的方式拉取阻断清单，通过安全DNS进行拦截域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26.解析域名分析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根据企业各职场、各出口的访问，统计展示请求域名和拦截域名情况，支持按照时间、处置动作、检出原因、DNS查询类型、访问域名分类、出口IP等进行筛选，并支持下载。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27.域名解析日志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支持查看24小时域名解析明细日志，展示请求时间、查询类型、处置动作、响应状态、解析结果、威胁等级等明细信息，支持多维度筛选与下载。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28.安全事件分析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支持威胁事件视角、恶意地址视角、职场视角查看内网安全事件和检出趋势；可按照时间、请求职场、网络出口、威胁类型、事件名称、威胁域名、严重等级等进行筛选和分析。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29.终端安全分析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支持按照失陷主机维度统计安全事件，以及失陷主机关联威胁事件展示，对终端恶意进行分析。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30.内容分类分析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支持针对上网请求的域名分类进行可视化分析，按照职场、时间段、敏感分类进行筛选，查看内容分类站点拦截情况，分析TOP内容分类访问趋势，敏感站点TOP访问时段、TOP访问职场等数据。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31.自定义安全报告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支持单次创建、定时周期创建报告，报告内容可充分自定义，包括：职场范围、威胁严重级别及报告名称等内容，支持排除无需展示的域名。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报告类型支持综合分析报告、安全事件报告、威胁终端报告、检出情况列表等四种报告，定期生成月报、季度报、年报并发送至指定邮箱，满足安全运营各种场景需求。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（六）AI+安全运维巡检服务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rHeight w:val="2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BMC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1.整体要求服务：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各种IT资源如有线设备、无线设备、光网络设备、服务器带外、虚拟化平台、数据库中间件、服务器操作系统的统一监控与管理；提供灵活的告警和通知策略，具备资产管理、配置合规性检查、AI运维和对外接口能力，提供多种可视化展现方法，包含网络拓扑，数据折线视图等，全面提高IT资源的管理效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2.基本功能服务：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具体包括以下内容：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提供操作系统镜像一体化安装方式，可在虚拟机或物理服务器上完成操作系统、数据库和产品集成安装，无需分别安装配置；支持本地升级和远程升级。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（1）支持设置每个用户定义多个个性化的Portal，支持全屏展示以及轮播；支持自定义门户，可在门户上添加关注内容，自定义添加系统的各种组件图表；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（2）支持设置不同的角色对用户权限进行管理，不同的角色所拥有的功能权限不同；支持对用户可操作的资源范围进行管理，不同用户可操作的资源范围不同；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系统IP白名单登录；支持系统管理员密码防暴力破解；支持恶意用户登录封禁；支持对用户操作进行审计，记录内容包含用户登录账号、登录IP、操作内容、操作结果；支持设置登录错误次数限制，支持设置登录验证码，支持设置空闲会话超时断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（4）支持日志审计，对重要操作行为均有日志记录，包括但不限于操作日志、告警日志、登录日志、子网管理和IP地址操作日志、系统运行任务日志，支持对审计日志的时间范围查询、关键字查询。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3.拓扑管理服务：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具体包括以下内容：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（1）产品需要具备网络拓扑管理功能，能够自动、实时、准确地呈现网络结构。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（2）自动计算设备间物理连接关系，精准到每个物理接口的互联关系，对聚合链路能够精准到聚合端口组中每条物理端口的对应关系，当设备连接关系发生变化时系统会提醒用户进行更新确认。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设备间的连接关系自动计算最优位置，使连接线交叉最少、布局均匀、结构清晰，支持自动调整拓扑布局算法的参数实现多种不同的自动布局方式供用户选择初始布局，允许管理员根据网络规模和审美偏好进行精细优化。允许用户通过拖拽方式对单个或成组设备进行手动微调，支持自动对齐、均匀分布等操作，调整后的位置应能被系统记忆和保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小地图方式在拓扑中进行快速定位，支持拓扑中的链路采用折线模式，支持使用在线方式进行拓展展现，支持使用层级拓扑的方式对拓扑进行扩展，支持对拓扑中的节点样式、链路样式、文字样式进行自定义编辑，可以实现每张拓扑使用不同的样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使用visio格式文件进行拓扑导入，使用visio的组件对拓扑中的设备和链路进行编辑，支持拓扑导出SVG矢量图，支持添加任意系统监控设备作为节点元素，支持添加任意系统IP链路作为线段元素，节点元素和线段元素能够随监控状态不同变化不同的颜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按指定时间范围查看Flow流量、报文数量、变化趋势及Top-N排名，并按采集设备、入/出接口、源/目的IP、通信会话和传输协议进行分析；支持从设备及接口排名下钻，查看对应接口的主要流量来源和通信会话，展示通信双方、协议、流量及Flow记录数量，并关联可匹配的资源，便于定位高流量接口及主要占用对象。</w:t>
            </w:r>
            <w:r>
              <w:rPr>
                <w:rFonts w:ascii="SimSun" w:hAnsi="SimSun" w:eastAsia="SimSun" w:cs="SimSun"/>
                <w:b/>
                <w:color w:val="000000"/>
                <w:sz w:val="21"/>
              </w:rPr>
              <w:t xml:space="preserve">（提供功能截图并加盖投标人公章）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4.IP子网管理服务：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（1）实现对IP、子网、线路、域名等网络资源的管理，对各类数据的分配和使用情况及时记录，当前数据自动更新，历史记录长久保留。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（2）需要提供IP地址空间的可视化矩阵视图，直观展示子网划分结构、地址使用率和状态概览。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应能自动扫描并发现指定IP地址范围（包括IPv4和IPv6）内的在线设备、IP地址使用状态（已用、空闲、保留等）。应支持与网络中的DHCP服务器同步，自动获取并展示已分配的IP地址属性信息。应支持与DNS服务器集成，自动同步正向和反向解析记录，实现IP与域名关联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IPv4/IPv6子网的分组管理，支持自动发现子网信息、支持对子网IP地址使用率进行监控，支持手动管理子网信息；支持对IP地址进行标记管理，支持标记IP地址的使用人、使用位置、用途信息，支持自定义标记属性信息；支持VLAN信息展示，对网络中监控到的VLAN信息集中展示，显示三层设备信息、子网数量、添加方式、建筑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5.终端管理服务：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（1）实现对台式机、笔记本、移动设备、物联网终端、摄像机、门禁控制器等终端的管理，能够自动记录并管理终端的接入位置信息、使用账号信息、漫游轨迹等。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（2）支持对门禁、摄像机等物联网终端提供标签化管理，记录终端的属性特征，便于日常维护。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（3）支持按IP、MAC、账号、交换机端口、AP或位置查询终端当前和历史记录；按时间顺序展示有线/无线位置轨迹，包括接入设备、接口或AP、位置、接入时间、离线时间和漫游过程。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（4）支持监控IP和终端MAC的对应关系，监控异常入网终端，当发现对应关系不符时触发告警；支持设置IP地址备案管理，对备案的IP地址进行使用状态的监控，当状态变化时触发告警。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6.告警服务：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（1）系统中的事件按照紧急、重要、警告、通知不同的级别和角色制定不同的告警通知策略，实现智能告警与通知。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监控设备指标进行阈值设置，当指标和设置的阈值不符时，触发告警，告警可实时展示在系统中；支持对设备分组或单个设备设置指标阈值和告警等级；支持告警自动恢复，支持用户手动恢复，并在恢复时记录恢复信息对处理情况进行留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智能基线告警，根据指标在过去运行的一段时间内的数据智能计算动态基线范围，根据时间段内的不同时刻设置不同阈值进行告警。支持基于网络拓扑进行告警收敛，上级设备告警时自动屏蔽多个下联设备的衍生告警，提取核心关键告警，减少冗余告警；支持对告警进行原因分析，支持根据故障内容提供处理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（4）支持根据用户设置不同的告警通知策略；支持包括但不限于微信、短信、邮件、语音、微信服务平台、声光等方式进行告警通知以及告警恢复通知。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7.有线设备监控服务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设备指纹库，支持自动识别网络、无线、光网络、服务器、存储、安全设备及终端的厂商、型号、序列号和软硬件版本等信息，投标人应提供设备自动识别服务，支持对采购人现有网络设备、无线设备、服务器、存储、安全设备及终端进行厂商、型号、序列号等信息的自动发现和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现对交换机、路由器、无线AC、无线AP、OLT、ONU、机架式服务器、刀片式服务器、统一存储、分布式存储、安全设备（防火墙、WAF、DPI、域名解析、UTM等）的管理，维护设备的基本信息、监控设备的运行状态、统计设备性能与容量，并通过可视化方式对上述内容进行有效展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用户现有以及产品维保期内新采购的所有网络设备、无线设备、光网络设备、服务器、存储、安全设备的管理和监控都已经兼容和无需另外付费的开发，对于采购人现有设备，投标人承诺在服务启动阶段完成识别和纳管；服务期内采购人新增设备时，投标人应在合理期限内完成纳管，不得因设备型号新增而拒绝提供服务或额外收取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用户当前所有网络、服务器、存储、安全设备和维保期内所有新采购设备的真实面板库，需提供承诺函，承诺内容包括：真实面板需要与设备的型号对应，不能采用通用模板替代真实面板，新增面板无需另外付费。真实面板需要采用矢量文件形式，支持任意比例缩放不失真变形。真实面板能够实时展示设备的真实运行数据、设备状态、接口流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自动识别网络设备的制造商、型号、系统名称、SN号、固件版本、运行时间等信息，并且当设备的上述信息变更后主动通知用户变更的内容。监控采集所有设备的CPU、内存利用率、丢包、延迟等关键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（6）对用户当前和维保期内新采购的所有网络设备的电源、风扇、温度传感器等信息自动识别和运行状态的监控，提供专有的列表和可视化展现。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（7）提供跨设备接口列表并支持按接口属性筛选；采集接口类型、状态、速率、聚合组、收发光功率、流量、报文及错包数据，展示利用率和错包率，并支持按接口和时间范围统计流量总量。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（8）支持对防火墙、DPI、域名、流控、WAF等设备的管理与监控，识别设备类型、CPU内存使用率、接口流量、防火墙连接数量等信息。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8.无线设备监控服务：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（1）支持对无线厂商包括但不限于：华为、华三、锐捷、Aruba、深信服等AC和AP的管理，实现支持对AC以及AP的自动识别机发现，包括但不限于，型号、频谱、SSID、流量、信息加密方式、广播频率等数据。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时采集无线终端的上下线和漫游信息，包括但不限于终端接入信息，上下线行为轨迹信息，全链路连接关系信息，终端流量信息，信号强度信息等，并且支持通过时间轴、记录列表等方式进行展示，以及支持通过时间、终端行为、地理位置、无线AP等方式进行精细过滤筛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9.光网络监控服务：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对光网络设备的OLT、ONU进行管理，支持自动识别OLT的插槽信息，显示该OLT下的每一个插槽的状态、名称、SN、描述。支持自动识别PON口信息，显示每一个PON口的光模块状态、温度、输出功率、挂载ONU数量，显示PON下所有ONU的状态和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（2）支持在系统中直接操作ONU，支持对ONU进行重启。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10.有线设备配置管理服务：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（1）支持网络设备配置文件定时备份、版本保留、差异对比、基线合规检查和偏离告警；AI可查询备份历史、对比任意两个版本并总结配置命令变化。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（2）提供设备凭据集中管理，支持自定义字段、角色权限、设备使用关系、运行验证和轮换计划；敏感值应脱敏展示并记录操作审计，支持识别因缺少配置备份所需凭据而存在风险的设备。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11.服务器带外监控服务：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对厂商服务器带外进行监控，支持的厂商包括但不限于戴尔、华为、华三、曙光、浪潮、联想，支持的协议包括但不限于Redfish、IPMI、SNMP。支持通过带外管理实时监控服务器硬件的运行状态，操作系统类型、包括但不限于：CPU型号、内存容量、风扇转数、电源功率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12.服务器操作系统监控服务：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对服务器上操作系统进行监控，支持对Linux、Windows以及统信UOS、龙晰、麒麟等国产化系统进行监控，支持的协议包括但不限于WMI、SNMP、SSH，支持通过Agent对操作系统进行监控；支持对操作系统的进程进行监控，支持对操作系统中的网络接口进行监控。支持对磁盘分区使用剩余时长进行预测，在剩余时长不足时可进行告警。支持进程异常退出时触发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（2）支持对服务器中的GPU进行监控，监控指标包括但不限于性能状态、风扇转速、温度、电源功耗、内存使用率、GPU使用率。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13.存储系统监控服务：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（1）支持华为、华三、宏杉、曙光、戴尔、EMC、浪潮、HPE等存储，监控磁盘、热备盘、LUN、RAID组、存储池和控制器；对支持的Huawei OceanStor和HPE平台采集CPU利用率、延迟等性能指标，并提供趋势和告警。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14.虚拟化平台监控服务：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对：虚拟化、私有云、容器等云资源的管理，支持用户使用的全部虚拟化和容器化平台，实时更新各个虚拟化平台和容器平台的资源容量、分配情况、使用情况映射关系等。支持识别超线程并自动调整CPU资源计算策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（2）支持对厂商虚拟化平台进行监控，支持的厂商包括但不限于VMware、华为、深信服、华三、浪潮、Citrix、Hyper-V，监控内容包括但不限于主机、虚拟机、存储、虚拟机分区、物理网卡、虚拟网卡。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（3）支持对公有云资源进行统一管理，管理云主机的配置和运行状态。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15.数据库中间件监控服务：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（1）支持监控DB2、HBase、SQL Server、MySQL、Oracle、Redis、Sybase、MongoDB、PostgreSQL、Elasticsearch、人大金仓、达梦、万里等数据库，提供可用性、容量、关键性能指标、历史趋势和告警。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为授权数据库配置自定义SQL监控规则，可设置只读SQL、比较条件、数值阈值和告警等级，并按照数据库监控采集周期自动执行；启用前支持SQL校验和试运行；支持执行历史留存，并根据计算结果触发或恢复告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（3）支持对厂商的中间件进行监控，监控对象包括但不限于Apache、IIS、JBoss、Nginx、Tomcat、WebSphere、WebLogic、IBM MQ、Active MQ、logstash、东方通。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16.AI运维和巡检服务：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（1）提供面向设备、服务器、存储、无线、终端、拓扑、告警和Flow数据的AI Agent排障能力；支持从AI控制台或BMC资源页面发起并自动携带对象上下文，展示规划步骤、工具调用和返回证据，输出影响对象和时段、原因、风险、建议，并可跳转相关BMC资源。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（2）支持AI对话式统计系统内的各项资源，支持按设备分类、厂商、所在位置等进行统计；支持对统计结果AI自动生成图表，包括但不限于柱状图、折线图、饼图、热力图等，支持图表导出；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一键AI诊断能力，在有线、无线、终端、拓扑、告警等页面提供AI一键诊断按钮，可直接调用AI做排障或对单个设备进行深入分析，分析结果需要以完整报告和结构化列表形式显示，包括设备状态指标、异常检测详情和修复建议（支持一键跳转到对应配置页面）；分析结果需要输出关键结论、事件或告警处理的优先级；报告中的设备或资源需要采用超链接形式，支持一键跳转到对应监控界面；排障过程需要记录AI调取数据和返回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通过自然语言创建一次性或周期性巡检任务。AI自动采集指定设备、接口、无线/光网络、服务器、存储、拓扑或告警的当前及历史数据，识别状态异常、性能劣化和趋势风险，生成包含范围、关键指标、异常对象、证据、风险等级和建议的报告；执行步骤和结果应留存并支持历史对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无需额外配置直接展示AI巡检要点总结和关键指标（例如网络延迟、设备可用率、告警数量），以及上次执行时间和预计下次执行时间；巡检任务可以暂停执行，支持暂停后恢复时；要点总结需要显示在任务列表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通过自然语言按资源类型、厂商、状态、位置和时间范围统计数据；AI可生成和继续修改折线图、柱状图、饼图、热力图、排名和仪表盘，支持预览、导出，并可通过企业微信或飞书发送图表或BMC可视化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AI巡检模板，支持对有线设备（例如交换机端口状态、接口利用率）、无线设备（例如AP信号强度、客户端连接数）、光设备（例如光模块功率、衰减值）、拓扑（例如链路连通性、冗余路径检查）、设备间的状态巡检（例如端口协商速度一致性）；支持对机房设备间的温度巡检，包括采集温度传感器数据（精确到0.1℃），支持将机房温度与机房当地温度对比；确保所有巡检数据以日志形式存储，支持查询历史对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（8）支持通过Web页面、AI辅助Web命令终端、企业微信和飞书与AI运维系统进行交互，支持文本、语音及Excel文件等交互输入方式；AI能够解析Excel文件内容，并结合BMC监控数据完成查询、分析和运维任务。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AI分析有线终端当前及历史接入记录、交换机和接口、VLAN/IP信息、接口状态、上联设备、网络路径、相关告警及Flow记录；识别终端、接入接口、VLAN/IP、上联链路或异常流量问题，并输出证据和处理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管理员以自然语言排查无线终端卡顿、掉线、漫游异常和无法接入等问题。AI关联终端连接会话、漫游事件、信号采样、AP射频与负载及AP上联指标，输出异常时段、诊断证据、潜在原因、风险和处理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在同一Web终端命令行中交替输入设备命令和中文自然语言，自动识别并分别交由远程终端或AI处理，无需切换到独立聊天窗口。AI结合当前连接对象及终端执行结果给出分析，在终端内展示待执行命令、用途和风险等级，由管理员确认或拒绝；确认后在当前SSH/Telnet会话执行，自动采集实际输出供AI继续分析，并按需提出下一步待确认命令。手工输入的设备命令按普通终端方式执行。</w:t>
            </w:r>
            <w:r>
              <w:rPr>
                <w:rFonts w:ascii="SimSun" w:hAnsi="SimSun" w:eastAsia="SimSun" w:cs="SimSun"/>
                <w:b/>
                <w:color w:val="000000"/>
                <w:sz w:val="21"/>
              </w:rPr>
              <w:t xml:space="preserve">（提供功能截图并加盖投标人公章）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相互隔离的终端标签、会话复制、分屏、独立输入和全屏模式，各会话分别保持连接目标及交互内容；在目标支持ZMODEM协议的条件下，支持受控文件传输。网络异常断开时保留当前页面已显示的终端历史及AI结果卡片，便于核查中断前的操作和结果。</w:t>
            </w:r>
            <w:r>
              <w:rPr>
                <w:rFonts w:ascii="SimSun" w:hAnsi="SimSun" w:eastAsia="SimSun" w:cs="SimSun"/>
                <w:b/>
                <w:color w:val="000000"/>
                <w:sz w:val="21"/>
              </w:rPr>
              <w:t xml:space="preserve">（提供功能截图并加盖投标人公章）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（13）支持按校区、楼宇、楼层或区域，对终端会话、漫游事件、信号采样、AP射频和上联指标进行AI分析；计算信号中位数、低分位值、终端数量和漫游分布，识别异常AP和时段并输出证据、排名及优化建议。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无线AP故障AI自愈功能。系统能够从BMC自动获取异常下线AP，也可手动指定异常AP；AI结合AP当前状态、Ping检测、运行日志及多AC管理关系判断AP是否真实异常。确认异常后，能够按照预设策略自动重启AP并复测；AP仍未恢复时，能够定位并重启其PoE交换机供电端口，再次检测AP状态。支持按AP白名单、黑名单或名称及IP通配规则控制允许执行自愈的范围，并支持设置执行延迟和每分钟触发次数上限；完整记录各步骤的执行时间、操作及结果，支持查看自愈历史、再次检测、异常次数统计，以及自愈失败和频繁异常通</w:t>
            </w:r>
            <w:r>
              <w:rPr>
                <w:rFonts w:ascii="SimSun" w:hAnsi="SimSun" w:eastAsia="SimSun" w:cs="SimSun"/>
                <w:color w:val="000000"/>
                <w:sz w:val="21"/>
              </w:rPr>
              <w:t xml:space="preserve">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通过自然语言记录网络割接、故障处置及会议跟进等运维事项，整理事件记录和Wiki知识，并建立与事件关联的待办；待办支持指定负责人、协作者、开始时间、截止时间和提醒时间，保留来源描述。支持查询、修改、完成和取消待办，并记录操作过程，便于按事件追踪后续处理情况。</w:t>
            </w:r>
            <w:r>
              <w:rPr>
                <w:rFonts w:ascii="SimSun" w:hAnsi="SimSun" w:eastAsia="SimSun" w:cs="SimSun"/>
                <w:b/>
                <w:color w:val="000000"/>
                <w:sz w:val="21"/>
              </w:rPr>
              <w:t xml:space="preserve">（提供功能截图并加盖投标人公章）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通过自然语言为同一运维待办设置一个或多个指定提醒时间，依据人员与企业微信、飞书账号的映射，按接收人配置的渠道向负责人及协作者发送提醒；接收人可在提醒消息中标记关联待办完成，或选择30分钟后再次提醒本人。系统校验交互账号与提醒接收人的对应关系，更新待办或提醒状态，并保留发送结果和处理记录；调整提醒时间时关联原待办，无需重复建立事项。</w:t>
            </w:r>
            <w:r>
              <w:rPr>
                <w:rFonts w:ascii="SimSun" w:hAnsi="SimSun" w:eastAsia="SimSun" w:cs="SimSun"/>
                <w:b/>
                <w:color w:val="000000"/>
                <w:sz w:val="21"/>
              </w:rPr>
              <w:t xml:space="preserve">（提供功能截图并加盖投标人公章）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（七）AI+安全监测服务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1.安全监测服务：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以AI渗透工具为辅助，提供指定网站的AI安全监测服务、人工分析与验证服务。具体包括以下内容：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（1）AI安全监测服务：使用AI渗透工具对指定网站进行安全检测，需要具备以下功能：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①AI智能体检测：由AI智能体执行安全检测，智能体在项目独立的容器执行环境中运行命令、检索知识库、联网查资料、撰写报告，执行过程实时展示思考与工具调用过程。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②多智能体协作：支持主导智能体将子任务委派给协作智能体（其他专家角色）执行，支持后台并行委派，可查看每个协作智能体的执行过程与状态。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③执行档位：支持多种执行档位；深度档先出执行计划（可人工评审），自动续跑直至目标完成，提交后由独立的复核智能体复核。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④时间窗执行：支持检测任务只在指定日期的指定时段执行，窗口结束自动暂停、下个窗口自动继续，避免影响网站正常业务。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⑤标准化检测：支持用任务手册定义检测工作的标准做法，包括适用场景、底线、参考做法、验收标准、结果结构与交付物要求；智能体完成后平台自动检查结果是否符合手册要求，不合格的退回智能体修改。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⑥执行安全控制：智能体默认只能写入项目工作区，命令或写文件需要越出工作区时可配置为人工审批或禁止；支持出站地址安全防护，拦截链路本地地址与云厂商元数据地址。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⑦知识库与自动复盘：支持建立知识库供智能体检测时检索，支持语义与关键词混合检索；任务结束后自动复盘，输出结论、根因分析与改进建议，提炼的经验在下一次同类任务中自动注入智能体上下文。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漏洞登记与证据：包含漏洞地址、漏洞名称、漏洞等级、漏洞描述、漏洞影响、修复建议、期限等字段，支持CVE编号、CWE编号、CVSS评分；漏洞以有序步骤记录复现过程，每步可附请求报文与响应报文，Authorization、Cookie等敏感头自动打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⑨漏洞去重：按资产、规范化名称、规范化地址自动去重，重复发现的漏洞合并并累计次数；已修复的漏洞再次被发现时自动标记为复发。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⑩一键复测：支持对单条、批量或某网站的全部待修复漏洞一键下发复测，由智能体按复测手册自动核对，复测结论自动更新漏洞状态，并统计已修复、仍存在、无法核对的数量。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⑪数据安全：网站账号凭据加密存放在密钥库，永不提供给智能体，查看明文需具备专门权限并记录审计；数据变更、下载文件、查看凭据明文等操作记录审计日志。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（2）人工分析与验证服务：安全专家在AI检测完成后需要进行人工分析与验证工作，剔除误报，验证存档的报告格式符合江苏省教育厅网络安全通报平台的通报格式要求。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2.通报处置服务：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根据采购人要求配合进行通报处置服务，包括安全威胁通报、人工复测审核服务、通报整改跟踪及支撑。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3.应急处置：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针对上级部门或监管部门下发的通报事件，根据采购人要求配合网站主管单位进行漏洞整改和复测。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4.预警通知服务：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根据采购人要求推送预警信息给指定用户，并配合上级监管和主管单位部门进行专项漏洞检查。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5.统计报告服务：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定期（每月）分析安全状态，输出安全监测及通报统计报表，展示本月网站安全状态、安全监测情况、安全风险分布情况、通报及修复情况等。</w:t>
            </w:r>
            <w:r/>
          </w:p>
        </w:tc>
      </w:tr>
    </w:tbl>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（八）API监测服务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367"/>
        <w:gridCol w:w="7212"/>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展应用系统的API资产梳理服务，充分利用服务工具，实时通过对接入流量的解析还原，发现API接口并聚合成一个个的应用系统，形成应用清单，同时系统内置了大量对于应用系统的类型识别策略，可对教育应用系统进行初步分类：业务办公类、员工管理类、数据库管理类、开发管理类等，系统还支持应用类型的插件化管理，支持新增应用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展API资产梳理服务，充分利用服务工具，实时发现所有内部、外部和第三方API，提供API详细信息，帮助了解攻击面。利用系统的持续发现功能，使API资产清单保持最新和准确。自动对接口进行分类，包括登录接口、敏感数据接口、数据采集接口、文件上传接口、文件下载接口，以及影子API和僵尸API。识别影子和僵尸API，即识别未知的API与过时、失活的AP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展API敏感数据识别服务，利用服务工具，实时针对接口传输的个人信息及涉疫相关数据进行发现（学生身份证号码，学生姓名，学生手机号、老师手机号、老师身份证、学籍、课程名称、课程内容等），根据数据标签的识别策略自动解析API事件中的敏感数据，并给对应的API接口打上此API包含的数据标签。通过识别数据暴露面，可以防止敏感数据暴露。形成一个数据暴露面清单，标识出API接口会暴露什么类型的数据，对暴露面进行分级，同时也会标识出接口一次性可以返回的最大数据量等，方便安全运营人员对API数据暴露面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4.开展API弱点评估服务，充分利用服务工具实时接入检测流量，基于流量中的API资产，自动发现API上的弱点，并针对这些弱点特征进行合理的分类分级，在弱点模块呈现出来，找出存在弱点的API接口。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5.开展API风险发现服务，充分利用服务工具，实时通过无监督学习算法，主动对API接口进行攻击学习，识别API扫描、试探等攻击风险；还内置数据攻击风险规则。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6.通过服务方式，提供API弱点补救见解，显示弱点详细信息，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7.通过服务方式，及时提供API弱点证据样例，还原接口的请求和返回内容，提供查看接口样例的功能。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弱点验证、修复复核服务，针对发现的数据安全风险，以服务方式提供风险验证，确认风险的真实性。并且数据安全风险经过安全加固、安全整改之后，同样提供服务的方式复核数据安全整改的可靠性，判断数据安全风险是否已经真正得到了解决，并提供相应的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9.服务工具网络流量处理能力不低于1G。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10.服务工具同时接入应用数量不低于50个。</w:t>
            </w:r>
            <w:r/>
          </w:p>
        </w:tc>
      </w:tr>
    </w:tbl>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三、人员配置要求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1.团队总体要求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投标人应为本项目组建不少于4人的固定服务团队，明确项目经理、技术负责人、运维人员及后台支持人员的岗位职责和人员分工。团队成员应具备与岗位相匹配的专业能力，并保持相对稳定。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服务：投标人须提供每月不少于35人天的现场服务，其中云WAF防护服务、API监测服务分别为10人/天，实名认证运维服务，网络安全通报及资产监测服务、主机安全防护服务分别为5人/天具体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（1）驻场人员应熟悉本项目技术要求和业务流程，能够独立完成日常巡检、故障排查、策略配置、通报支撑等工作；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（2）驻场人员应服从采购人日常管理，遵守采购人工作纪律和保密要求。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3.岗位设置及要求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（1）项目经理：1名，具备项目管理或系统集成相关证书，具有类似项目管理经验，负责项目整体统筹、协调和交付管理。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（2）技术负责人：1名，负责技术方案、重大安全事件处置和技术支撑。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（3）运维工程师：不少于2名。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4.人员稳定性要求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（1）服务期内，投标人应保持项目团队稳定，保证服务工作对接的流畅性。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内，项目经理、技术负责人及主要驻场人员原则上不得更换。确需更换的，应提前10个工作日内向采购人提出书面申请，说明更换原因，并提供接替人员的资质证明。接替人员的资质和经验不得低于原人员，经采购人书面确认后方可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（3）采购人有权对团队成员的服务能力、工作态度、出勤情况等进行考核。对不胜任岗位或违反采购人管理要求的人员，采购人有权要求投标人限期更换，投标人应在10个工作日内完成更换。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（4）投标人应建立人员备份机制，确保关键岗位人员请假、休假或临时离岗时，有具备同等能力的人员及时补位，不得影响服务连续性。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1.报价要求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（2）供应商的任何错漏、优惠、竞争性报价不得作为减轻责任、减少服务、增加收费、降低服务质量的理由。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（3）供应商报价除包含招标文件中列明的项目外还应包括保障服务正常运行应当具有的物资和服务，对服务正常运行应当具有的物资和服务理解不一致的以采购单位理解为准。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2.付款条件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（1）合同签订后，采购人支付合同总价款的65%作为预付款。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（2）服务结束并验收合格后，采购人支付合同总价款的35%。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（3）满足合同约定支付条件的，采购人收到中标人发票后10个工作日内，将资金支付到合同约定的中标人账户。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3.合同履行期限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中标人对项目整体提供一年服务。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4.验收/考核标准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按国家/行业相关标准。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5.维保要求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有技术和服务发生任何非人为故障，由中标人负责系统恢复。故障报修的响应时间为即时，到达现场的时间为2小时，小型故障恢复时间为4个小时，严重故障恢复时间为24小时内，并及时有效地提供解决方案。</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w="1132"/>
        <w:gridCol w:w="6349"/>
        <w:gridCol w:w="550"/>
        <w:gridCol w:w="825"/>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8" w:type="dxa"/>
            <w:vAlign w:val="top"/>
            <w:textDirection w:val="lrTb"/>
            <w:noWrap w:val="false"/>
          </w:tcPr>
          <w:p>
            <w:pPr>
              <w:ind w:left="15" w:right="0" w:hanging="15"/>
              <w:jc w:val="center"/>
              <w:spacing w:before="264"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2"/>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9" w:type="dxa"/>
            <w:vAlign w:val="top"/>
            <w:textDirection w:val="lrTb"/>
            <w:noWrap w:val="false"/>
          </w:tcPr>
          <w:p>
            <w:pPr>
              <w:ind w:left="0" w:right="0" w:firstLine="1"/>
              <w:jc w:val="center"/>
              <w:spacing w:before="264"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2"/>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2"/>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2"/>
                <w:sz w:val="24"/>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200"/>
              <w:spacing w:before="122"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1"/>
              </w:rPr>
              <w:t xml:space="preserve">1价</w:t>
            </w:r>
            <w:r>
              <w:rPr>
                <w:rFonts w:ascii="DengXian" w:hAnsi="DengXian" w:eastAsia="DengXian" w:cs="DengXia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15" w:right="0" w:hanging="15"/>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1</w:t>
            </w:r>
            <w:r>
              <w:rPr>
                <w:rFonts w:ascii="DengXian" w:hAnsi="DengXian" w:eastAsia="DengXian" w:cs="DengXia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采用低价优先法计算，即满足招标文件要求且投标价格最低的投标报价为评标基准价，其价格分为满分。其他投标人的价格分统一按照下列公式计算（小数点后保留两位）：投标报价得分=（评标基准价/投标报价)×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200"/>
              <w:spacing w:before="123"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1"/>
              </w:rPr>
              <w:t xml:space="preserve">2服务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108"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技术响应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评委会根据投标文件中《技术要求响应及偏离表》进行评审，全部满足第四章 采购需求中服务内容的得满分25分；打▲号指标为重要指标，有一项负偏离扣2分；其他参数，有一项负偏离扣0.5分，扣完为止。</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（投标人需在“技术要求响应及偏离表”中如实逐项填列，如招标文件要求提供相应证明材料的，应在偏离表中注明证明材料所在投标文件的页码位置，否则评标委员会有权做负偏离处理）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客观分</w:t>
            </w:r>
            <w:r/>
          </w:p>
        </w:tc>
      </w:tr>
      <w:tr>
        <w:trPr>
          <w:trHeight w:val="3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26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需求理解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评委根据投标人提供的需求理解（包括针对本项目的现状及业务、技术需求等）进行综合评分：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（1）对采购人现状及业务、技术需求有充分认识和理解，分析科学深入且有针对性的，得7分；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（2）对采购人现状及业务、技术需求认识和理解不够充分，分析不够科学深入，针对性一般的，得4分；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（3）对采购人现状及业务、技术需求没有认识和理解，分析浅显且无针对性的，得1分；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主</w:t>
            </w:r>
            <w:r>
              <w:rPr>
                <w:rFonts w:ascii="DengXian" w:hAnsi="DengXian" w:eastAsia="DengXian" w:cs="DengXian"/>
                <w:color w:val="000000"/>
                <w:spacing w:val="-4"/>
                <w:sz w:val="21"/>
              </w:rPr>
              <w:t xml:space="preserve">观分</w:t>
            </w:r>
            <w:r/>
          </w:p>
        </w:tc>
      </w:tr>
      <w:tr>
        <w:trPr>
          <w:trHeight w:val="8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评委根据投标人提供的实施方案（包括整体实施方法、进度、组织、风险等）进行综合评分：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（1）方案合理、科学性强、针对性强、能较好满足采购要求的，得9分；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（2）方案较合理、具有一定的科学性和针对性，可以满足采购要求的，得6分；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（3）方案基本合理，基本满足采购要求的，得3分；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主</w:t>
            </w:r>
            <w:r>
              <w:rPr>
                <w:rFonts w:ascii="DengXian" w:hAnsi="DengXian" w:eastAsia="DengXian" w:cs="DengXian"/>
                <w:color w:val="000000"/>
                <w:spacing w:val="-4"/>
                <w:sz w:val="21"/>
              </w:rPr>
              <w:t xml:space="preserve">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维保方案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评委根据投标人提供的维保方案（包括日常运维流程、故障处理、服务电话、人员保障等）综合评分：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（1）具备非常完善的服务流程，全面的服务内容、可行的故障解决方案、可靠的专业技术人员保障和服务电话的，得7分；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（2）具备基本的服务流程，服务内容全面性、故障解决方案针对性和专业技术人员业务能力基本满足采购需求的，得4分；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（3）服务方案较片面，服务流程及内容空洞或欠缺，响应时间缓慢，服务人员匹配欠缺的，得1分；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评委根据投标人提供的应急方案（包括突发安全事件响应流程和演练等）进行综合评分：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（1）应急方案全面、科学、针对性强，可操作性强，能充分满足采购需求的，得7分；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（2）应急方案基本全面，具有一定的科学性和可操作性，基本满足采购需求的，得4分；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（3）应急方案内容欠缺，可操作性一般，针对性不强的，得1分；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投标人在满足“到达现场时间为2小时”这一实质性要求的基础上，承诺在1小时内到达服务现场，得2分。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须提供《响应时间承诺函》，格式自拟，须加盖投标人电子公章。若投标文件中出现响应时间不一致的情况，以《响应时间承诺函》中承诺的时间作为评分依据；未提供《响应时间承诺函》或承诺时间超过1小时的，本项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客</w:t>
            </w:r>
            <w:r>
              <w:rPr>
                <w:rFonts w:ascii="DengXian" w:hAnsi="DengXian" w:eastAsia="DengXian" w:cs="DengXian"/>
                <w:color w:val="000000"/>
                <w:spacing w:val="-4"/>
                <w:sz w:val="21"/>
              </w:rPr>
              <w:t xml:space="preserve">观分</w:t>
            </w:r>
            <w:r/>
          </w:p>
        </w:tc>
      </w:tr>
      <w:tr>
        <w:trPr>
          <w:trHeight w:val="9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评委根据投标人提供的以下内容演示综合评分（每位投标人演示视频文件总演示时间不超过10分钟）：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（1）展示安全威胁通报与审核流程，展示安全预警信息通知公告功能；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展示终端定位能力：针对本地虚拟化探针，可对内部失陷主机进行定位。虚拟化探针可支持接入内部DNS流量、DNS日志或者安装在DNS服务器上三种方式；针对内网IP动态分配的情况，支持接入DHCP日志，定位到主机名与MAC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展示安全事件闭环能力：通过终端Agent自动化定位到恶意的文件和进程，准确获取终端上恶意进程的运行过程，用户可自主选择是否开启取证能力；支持配置Agent策略，能为Agent设置防退出、静默运行、防卸载功能；支持配置Agent策略，漫游终端设备回到企业内网后，默认使用内网DNS服务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（4）展示API调用能力：提供API能力，将指定时间拦截的恶意事件、网络出口数据、拦截或者放行策略等数据同步到本地已有系统和平台。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为保障DNS解析稳定可用，提供DNS解析验证工具，支持用户自定义测试域名、测试地区、运营商线路进行安全DNS解析测试。同时支持选择对照DNS服务器对比解析结果。提供的终端插件支持DoH服务（DNS over HTTPS），加密域名进行互联网解析保护企业上网隐私。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5）支持对可疑高权限账号、空密码账号进行检查和审计，支持检测Apache\nginx\tomcat\weblogic\jboss等配置缺陷，且在病毒防御方面，支持超大文件扫描，超大文件扫描支持5GB大小的文件扫描，且支持按不同的引擎和不同的病毒类型配置不同的自动响应措施。支持对CPU、内存、流量、硬盘进行持续性的监控，监控频率可配置分钟级，且支持对IIS、Apache、Nginx、mysql、Sqlserver运行过程中的性能监控，且可以指定主机的会话量进行监控，可以查看会话访问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（6）展示协同防御功能：整体防御体系，全网拦截任何攻击过防护体系的攻击者IP。展示区域访问限制功能：限制境外IP进行访问。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注：以上每项采用真实系统视频演示，完整演示上述功能，每项得3分，最多得18分；以上每项采用DEMO、PPT等方式演示，完整演示上述功能，每项得1.5分，最多得9分。</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备注：未上传视频文件或因投标人自身原因视频文件无法打开或视频画面不清晰无法辨认的不得分。视频文件格式为*.mp4或*.avi，投标人须将视频文件分段压缩为*.zip文件上传(单个文件不得大于50M，所有文件总共不得大于300M)。文件上传方式见《操作手册》，上传的演示视频作为投标文件的组成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4"/>
                <w:sz w:val="21"/>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1"/>
              </w:rPr>
              <w:t xml:space="preserve">3业绩</w:t>
            </w:r>
            <w:r/>
          </w:p>
        </w:tc>
      </w:tr>
      <w:tr>
        <w:trPr>
          <w:trHeight w:val="2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1"/>
                <w:sz w:val="21"/>
              </w:rPr>
              <w:t xml:space="preserve">投标人业绩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投标人提供自2023年1月1日（含）以来类似项目（合同内容包含网络安全监测或网络安全运维）的业绩，每提供一个得1分，最多得3分。</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（以合同签订时间为准，合同应能反映相关内容，提供合同关键页扫描件，并加盖公章）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客</w:t>
            </w:r>
            <w:r>
              <w:rPr>
                <w:rFonts w:ascii="DengXian" w:hAnsi="DengXian" w:eastAsia="DengXian" w:cs="DengXian"/>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200"/>
              <w:spacing w:before="123"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pacing w:val="-3"/>
                <w:sz w:val="21"/>
              </w:rPr>
              <w:t xml:space="preserve">4履约能力</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投标人针对本项目拟派出的项目经理具有系统集成项目管理工程师、 ITSS-IT服务工程师、注册信息安全专业人员（CISP），每提供一个证书得2分，最多得6分。</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注：提供证书扫描件及投标人为其缴纳的近半年内任意一个月的社保证明，证明材料缺项或未提供的不得分。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4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客</w:t>
            </w:r>
            <w:r>
              <w:rPr>
                <w:rFonts w:ascii="DengXian" w:hAnsi="DengXian" w:eastAsia="DengXian" w:cs="DengXian"/>
                <w:color w:val="000000"/>
                <w:spacing w:val="-4"/>
                <w:sz w:val="21"/>
              </w:rPr>
              <w:t xml:space="preserve">观分</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2" w:type="dxa"/>
            <w:vAlign w:val="center"/>
            <w:textDirection w:val="lrTb"/>
            <w:noWrap w:val="false"/>
          </w:tcPr>
          <w:p>
            <w:pPr>
              <w:ind w:left="0" w:right="0" w:firstLine="0"/>
              <w:spacing w:before="69"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项目团队成员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投标人针对本项目拟派出的项目团队成员（项目经理除外）具有网络工程师证书或注册信息安全专业人员（CISP）证书，每提供一个证书得2分，最多得6分。</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（项目团队成员一人持多证不重复计分）。</w:t>
            </w:r>
            <w:r/>
          </w:p>
          <w:p>
            <w:pPr>
              <w:ind w:left="105" w:right="0" w:firstLine="20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注：提供证书扫描件及投标人为其缴纳的近半年内任意一个月的社保证明，证明材料缺项或未提供的不得分。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4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6"/>
                <w:sz w:val="21"/>
              </w:rPr>
              <w:t xml:space="preserve">客</w:t>
            </w:r>
            <w:r>
              <w:rPr>
                <w:rFonts w:ascii="DengXian" w:hAnsi="DengXian" w:eastAsia="DengXian" w:cs="DengXia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3"/>
                <w:sz w:val="21"/>
              </w:rPr>
              <w:t xml:space="preserve">合</w:t>
            </w:r>
            <w:r>
              <w:rPr>
                <w:rFonts w:ascii="DengXian" w:hAnsi="DengXian" w:eastAsia="DengXian" w:cs="DengXia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81" w:type="dxa"/>
            <w:vAlign w:val="center"/>
            <w:textDirection w:val="lrTb"/>
            <w:noWrap w:val="false"/>
          </w:tcPr>
          <w:p>
            <w:pPr>
              <w:ind w:left="172" w:right="0" w:firstLine="200"/>
              <w:jc w:val="center"/>
              <w:spacing w:before="123"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5"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pacing w:val="-11"/>
                <w:sz w:val="21"/>
              </w:rPr>
              <w:t xml:space="preserve">100分</w:t>
            </w:r>
            <w:r/>
          </w:p>
        </w:tc>
      </w:tr>
    </w:tbl>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三、法定代表人授权书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九、中小企业声明函（必须提供）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十二、投标供应商认为应提供的其他资料（如有）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南京君正项目管理咨询有限公司：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（2）提供参加本次政府采购活动前6个月内至少一个月份的会计报表（至少包括资产负债表和利润表）扫描件或其上一年度经审计的财务报告加盖供应商公章，成立不满6个月的无需提供或其他证明材料；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我单位委托进行现场演示的人员为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姓名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（身份证号：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法人身份证扫描件（正反面）：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被授权人身份证扫描件（正反面）：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4"/>
          <w:u w:val="single"/>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演示人员身份证复印件（正反面）：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南京君正项目管理咨询有限公司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0"/>
        <w:gridCol w:w="2916"/>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九、中小企业声明函（必须提供）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w:t>
      </w:r>
      <w:r>
        <w:rPr>
          <w:rFonts w:ascii="SimSun" w:hAnsi="SimSun" w:eastAsia="SimSun" w:cs="SimSun"/>
          <w:color w:val="000000"/>
          <w:sz w:val="32"/>
        </w:rPr>
        <w:t xml:space="preserve">服务</w:t>
      </w:r>
      <w:r>
        <w:rPr>
          <w:rFonts w:ascii="SimSun" w:hAnsi="SimSun" w:eastAsia="SimSun" w:cs="SimSun"/>
          <w:color w:val="000000"/>
          <w:sz w:val="32"/>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十二、投标供应商认为应提供的其他资料（如有）</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DengXian">
    <w:panose1 w:val="02010600030101010101"/>
  </w:font>
  <w:font w:name="FangSong">
    <w:panose1 w:val="02010609060101010101"/>
  </w:font>
  <w:font w:name="SimHei">
    <w:panose1 w:val="02010609060101010101"/>
  </w:font>
  <w:font w:name="Times New Roman">
    <w:panose1 w:val="020206030504050203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君正001商务</cp:lastModifiedBy>
  <cp:revision>6</cp:revision>
  <dcterms:created xsi:type="dcterms:W3CDTF">2026-10-14T10:13:26Z</dcterms:created>
  <dcterms:modified xsi:type="dcterms:W3CDTF">2026-10-15T03:43:09Z</dcterms:modified>
</cp:coreProperties>
</file>